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1518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51"/>
        <w:gridCol w:w="992"/>
        <w:gridCol w:w="567"/>
        <w:gridCol w:w="4414"/>
        <w:gridCol w:w="1134"/>
        <w:gridCol w:w="850"/>
        <w:gridCol w:w="2268"/>
        <w:gridCol w:w="1871"/>
        <w:gridCol w:w="181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187" w:type="dxa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>
            <w:pPr>
              <w:widowControl/>
              <w:ind w:firstLine="160" w:firstLineChars="50"/>
              <w:jc w:val="left"/>
              <w:rPr>
                <w:rFonts w:eastAsia="方正黑体_GBK"/>
                <w:kern w:val="0"/>
              </w:rPr>
            </w:pPr>
            <w:r>
              <w:rPr>
                <w:rFonts w:eastAsia="方正黑体_GBK"/>
                <w:kern w:val="0"/>
              </w:rPr>
              <w:t>附件</w:t>
            </w:r>
            <w:r>
              <w:rPr>
                <w:rFonts w:hint="eastAsia" w:eastAsia="方正黑体_GBK"/>
                <w:kern w:val="0"/>
                <w:lang w:val="en-US" w:eastAsia="zh-CN"/>
              </w:rPr>
              <w:t>1: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187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_GBK" w:hAnsi="方正小标宋_GBK" w:eastAsia="方正小标宋_GBK"/>
                <w:kern w:val="0"/>
                <w:sz w:val="36"/>
                <w:szCs w:val="36"/>
              </w:rPr>
            </w:pPr>
            <w:r>
              <w:rPr>
                <w:rFonts w:ascii="方正小标宋_GBK" w:hAnsi="方正小标宋_GBK" w:eastAsia="方正小标宋_GBK"/>
                <w:color w:val="000000"/>
                <w:sz w:val="36"/>
                <w:szCs w:val="36"/>
              </w:rPr>
              <w:t>成都市青羊区2018年面向世界“双一流”建设高校公开选聘事业单位工作人员岗位条件一览表</w:t>
            </w:r>
          </w:p>
          <w:p>
            <w:pPr>
              <w:widowControl/>
              <w:spacing w:line="340" w:lineRule="exact"/>
              <w:jc w:val="center"/>
              <w:rPr>
                <w:rFonts w:eastAsia="方正小标宋_GBK"/>
                <w:kern w:val="0"/>
                <w:sz w:val="40"/>
                <w:szCs w:val="4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2"/>
                <w:szCs w:val="22"/>
              </w:rPr>
            </w:pPr>
            <w:r>
              <w:rPr>
                <w:rFonts w:ascii="黑体" w:hAnsi="黑体" w:eastAsia="黑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2"/>
                <w:szCs w:val="22"/>
              </w:rPr>
            </w:pPr>
            <w:r>
              <w:rPr>
                <w:rFonts w:ascii="黑体" w:hAnsi="黑体" w:eastAsia="黑体"/>
                <w:kern w:val="0"/>
                <w:sz w:val="22"/>
                <w:szCs w:val="22"/>
              </w:rPr>
              <w:t>主管部门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2"/>
                <w:szCs w:val="22"/>
              </w:rPr>
            </w:pPr>
            <w:r>
              <w:rPr>
                <w:rFonts w:ascii="黑体" w:hAnsi="黑体" w:eastAsia="黑体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63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2"/>
                <w:szCs w:val="22"/>
              </w:rPr>
            </w:pPr>
            <w:r>
              <w:rPr>
                <w:rFonts w:ascii="黑体" w:hAnsi="黑体" w:eastAsia="黑体"/>
                <w:kern w:val="0"/>
                <w:sz w:val="22"/>
                <w:szCs w:val="22"/>
              </w:rPr>
              <w:t>招  聘  岗  位</w:t>
            </w:r>
          </w:p>
        </w:tc>
        <w:tc>
          <w:tcPr>
            <w:tcW w:w="59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2"/>
                <w:szCs w:val="22"/>
              </w:rPr>
            </w:pPr>
            <w:r>
              <w:rPr>
                <w:rFonts w:ascii="黑体" w:hAnsi="黑体" w:eastAsia="黑体"/>
                <w:kern w:val="0"/>
                <w:sz w:val="22"/>
                <w:szCs w:val="22"/>
              </w:rPr>
              <w:t>应      聘      资      格      条      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2"/>
                <w:szCs w:val="22"/>
              </w:rPr>
            </w:pPr>
            <w:r>
              <w:rPr>
                <w:rFonts w:ascii="黑体" w:hAnsi="黑体" w:eastAsia="黑体"/>
                <w:kern w:val="0"/>
                <w:sz w:val="22"/>
                <w:szCs w:val="22"/>
              </w:rPr>
              <w:t>单位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2"/>
                <w:szCs w:val="22"/>
              </w:rPr>
            </w:pPr>
            <w:r>
              <w:rPr>
                <w:rFonts w:ascii="黑体" w:hAnsi="黑体" w:eastAsia="黑体"/>
                <w:kern w:val="0"/>
                <w:sz w:val="22"/>
                <w:szCs w:val="22"/>
              </w:rPr>
              <w:t>名称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2"/>
                <w:szCs w:val="22"/>
              </w:rPr>
            </w:pPr>
            <w:r>
              <w:rPr>
                <w:rFonts w:ascii="黑体" w:hAnsi="黑体" w:eastAsia="黑体"/>
                <w:kern w:val="0"/>
                <w:sz w:val="22"/>
                <w:szCs w:val="22"/>
              </w:rPr>
              <w:t>招聘总数</w:t>
            </w:r>
          </w:p>
        </w:tc>
        <w:tc>
          <w:tcPr>
            <w:tcW w:w="4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2"/>
                <w:szCs w:val="22"/>
              </w:rPr>
            </w:pPr>
            <w:r>
              <w:rPr>
                <w:rFonts w:ascii="黑体" w:hAnsi="黑体" w:eastAsia="黑体"/>
                <w:kern w:val="0"/>
                <w:sz w:val="22"/>
                <w:szCs w:val="22"/>
              </w:rPr>
              <w:t>岗位简介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/>
                <w:kern w:val="0"/>
                <w:sz w:val="22"/>
                <w:szCs w:val="22"/>
              </w:rPr>
            </w:pPr>
            <w:r>
              <w:rPr>
                <w:rFonts w:ascii="黑体" w:hAnsi="黑体" w:eastAsia="黑体"/>
                <w:kern w:val="0"/>
                <w:sz w:val="22"/>
                <w:szCs w:val="22"/>
              </w:rPr>
              <w:t>岗位类别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2"/>
                <w:szCs w:val="22"/>
              </w:rPr>
            </w:pPr>
            <w:r>
              <w:rPr>
                <w:rFonts w:ascii="黑体" w:hAnsi="黑体" w:eastAsia="黑体"/>
                <w:kern w:val="0"/>
                <w:sz w:val="22"/>
                <w:szCs w:val="22"/>
              </w:rPr>
              <w:t>岗位名额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2"/>
                <w:szCs w:val="22"/>
              </w:rPr>
            </w:pPr>
            <w:r>
              <w:rPr>
                <w:rFonts w:ascii="黑体" w:hAnsi="黑体" w:eastAsia="黑体"/>
                <w:kern w:val="0"/>
                <w:sz w:val="22"/>
                <w:szCs w:val="22"/>
              </w:rPr>
              <w:t>专业</w:t>
            </w:r>
            <w:r>
              <w:rPr>
                <w:rFonts w:hint="eastAsia" w:ascii="黑体" w:hAnsi="黑体" w:eastAsia="黑体"/>
                <w:kern w:val="0"/>
                <w:sz w:val="22"/>
                <w:szCs w:val="22"/>
              </w:rPr>
              <w:t>要求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2"/>
                <w:szCs w:val="22"/>
              </w:rPr>
            </w:pPr>
            <w:r>
              <w:rPr>
                <w:rFonts w:ascii="黑体" w:hAnsi="黑体" w:eastAsia="黑体"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2"/>
                <w:szCs w:val="22"/>
              </w:rPr>
            </w:pPr>
            <w:r>
              <w:rPr>
                <w:rFonts w:ascii="黑体" w:hAnsi="黑体" w:eastAsia="黑体"/>
                <w:kern w:val="0"/>
                <w:sz w:val="22"/>
                <w:szCs w:val="22"/>
              </w:rPr>
              <w:t>其它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区委组织部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成都市青羊区人才发展中心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</w:t>
            </w:r>
          </w:p>
        </w:tc>
        <w:tc>
          <w:tcPr>
            <w:tcW w:w="4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 w:themeColor="text1"/>
                <w:kern w:val="0"/>
                <w:sz w:val="22"/>
                <w:szCs w:val="22"/>
              </w:rPr>
            </w:pPr>
            <w:r>
              <w:rPr>
                <w:color w:val="000000" w:themeColor="text1"/>
                <w:kern w:val="0"/>
                <w:sz w:val="22"/>
                <w:szCs w:val="22"/>
              </w:rPr>
              <w:t>从事人才政策宣传、人才资源统计、人才状况发布，负责各类高层次人才综合配套服务，建立人才信息库，实施“青羊人才计划”“青羊优秀人才培养计划”；协同开展人才政策理论研究和工作调研；协助开展海内外招才引智活动，配合做好人才战略合作等工作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 w:themeColor="text1"/>
                <w:kern w:val="0"/>
                <w:sz w:val="22"/>
                <w:szCs w:val="22"/>
              </w:rPr>
            </w:pPr>
            <w:r>
              <w:rPr>
                <w:color w:val="000000" w:themeColor="text1"/>
                <w:kern w:val="0"/>
                <w:sz w:val="22"/>
                <w:szCs w:val="22"/>
              </w:rPr>
              <w:t>管理岗位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>
              <w:rPr>
                <w:color w:val="000000" w:themeColor="text1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 w:themeColor="text1"/>
                <w:kern w:val="0"/>
                <w:sz w:val="22"/>
                <w:szCs w:val="22"/>
              </w:rPr>
            </w:pPr>
            <w:r>
              <w:rPr>
                <w:color w:val="000000" w:themeColor="text1"/>
                <w:kern w:val="0"/>
                <w:sz w:val="22"/>
                <w:szCs w:val="22"/>
              </w:rPr>
              <w:t>经济学（学科门类）、新闻传播学（一级学科）</w:t>
            </w:r>
            <w:r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、人力资源管理</w:t>
            </w:r>
          </w:p>
        </w:tc>
        <w:tc>
          <w:tcPr>
            <w:tcW w:w="1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>
              <w:rPr>
                <w:color w:val="000000" w:themeColor="text1"/>
                <w:kern w:val="0"/>
                <w:sz w:val="22"/>
                <w:szCs w:val="22"/>
              </w:rPr>
              <w:t>普通高等教育全日制</w:t>
            </w:r>
            <w:r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研究生</w:t>
            </w:r>
            <w:r>
              <w:rPr>
                <w:color w:val="000000" w:themeColor="text1"/>
                <w:kern w:val="0"/>
                <w:sz w:val="22"/>
                <w:szCs w:val="22"/>
              </w:rPr>
              <w:t>及以上</w:t>
            </w:r>
            <w:r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学历应届毕业</w:t>
            </w:r>
            <w:r>
              <w:rPr>
                <w:color w:val="000000" w:themeColor="text1"/>
                <w:kern w:val="0"/>
                <w:sz w:val="22"/>
                <w:szCs w:val="22"/>
              </w:rPr>
              <w:t>，</w:t>
            </w:r>
            <w:r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且取得相应</w:t>
            </w:r>
            <w:r>
              <w:rPr>
                <w:color w:val="000000" w:themeColor="text1"/>
                <w:kern w:val="0"/>
                <w:sz w:val="22"/>
                <w:szCs w:val="22"/>
              </w:rPr>
              <w:t>学位</w:t>
            </w:r>
            <w:r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证书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 w:themeColor="text1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区发展和改革局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青羊区政府投资项目评审中心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</w:t>
            </w:r>
          </w:p>
        </w:tc>
        <w:tc>
          <w:tcPr>
            <w:tcW w:w="4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 w:themeColor="text1"/>
                <w:kern w:val="0"/>
                <w:sz w:val="22"/>
                <w:szCs w:val="22"/>
              </w:rPr>
            </w:pPr>
            <w:r>
              <w:rPr>
                <w:color w:val="000000" w:themeColor="text1"/>
                <w:kern w:val="0"/>
                <w:sz w:val="22"/>
                <w:szCs w:val="22"/>
              </w:rPr>
              <w:t>从事政府投资项目的项目方案、项目可行性研究报告评审、节能审查工作的组织协调；组织开展PPP项目咨询、“物有所值”和财政承受力评估等工作</w:t>
            </w:r>
            <w:r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；</w:t>
            </w:r>
            <w:r>
              <w:rPr>
                <w:color w:val="000000" w:themeColor="text1"/>
                <w:kern w:val="0"/>
                <w:sz w:val="22"/>
                <w:szCs w:val="22"/>
              </w:rPr>
              <w:t>从事工程项目造价类评审工作的组织协调，包括项目概算（含控制价）、工程价款变更评审；审查验收中介机构咨询报告，起草评审中心项目评审文件等工作。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 w:themeColor="text1"/>
                <w:kern w:val="0"/>
                <w:sz w:val="22"/>
                <w:szCs w:val="22"/>
              </w:rPr>
            </w:pPr>
            <w:r>
              <w:rPr>
                <w:color w:val="000000" w:themeColor="text1"/>
                <w:kern w:val="0"/>
                <w:sz w:val="22"/>
                <w:szCs w:val="22"/>
              </w:rPr>
              <w:t>管理岗位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 w:themeColor="text1"/>
                <w:kern w:val="0"/>
                <w:sz w:val="22"/>
                <w:szCs w:val="22"/>
              </w:rPr>
            </w:pPr>
            <w:r>
              <w:rPr>
                <w:color w:val="000000" w:themeColor="text1"/>
                <w:kern w:val="0"/>
                <w:sz w:val="22"/>
                <w:szCs w:val="22"/>
              </w:rPr>
              <w:t>土木工程（一级学科）、建筑学（一级学科）、管理科学与工程类（一级学科）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>
              <w:rPr>
                <w:color w:val="000000" w:themeColor="text1"/>
                <w:kern w:val="0"/>
                <w:sz w:val="22"/>
                <w:szCs w:val="22"/>
              </w:rPr>
              <w:t>普通高等教育全日制</w:t>
            </w:r>
            <w:r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研究生</w:t>
            </w:r>
            <w:r>
              <w:rPr>
                <w:color w:val="000000" w:themeColor="text1"/>
                <w:kern w:val="0"/>
                <w:sz w:val="22"/>
                <w:szCs w:val="22"/>
              </w:rPr>
              <w:t>及以上</w:t>
            </w:r>
            <w:r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学历应届毕业</w:t>
            </w:r>
            <w:r>
              <w:rPr>
                <w:color w:val="000000" w:themeColor="text1"/>
                <w:kern w:val="0"/>
                <w:sz w:val="22"/>
                <w:szCs w:val="22"/>
              </w:rPr>
              <w:t>，</w:t>
            </w:r>
            <w:r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且取得相应</w:t>
            </w:r>
            <w:r>
              <w:rPr>
                <w:color w:val="000000" w:themeColor="text1"/>
                <w:kern w:val="0"/>
                <w:sz w:val="22"/>
                <w:szCs w:val="22"/>
              </w:rPr>
              <w:t>学位</w:t>
            </w:r>
            <w:r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证书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000000" w:themeColor="text1"/>
                <w:kern w:val="0"/>
                <w:sz w:val="22"/>
                <w:szCs w:val="22"/>
              </w:rPr>
            </w:pPr>
            <w:r>
              <w:rPr>
                <w:color w:val="000000" w:themeColor="text1"/>
                <w:kern w:val="0"/>
                <w:sz w:val="22"/>
                <w:szCs w:val="22"/>
              </w:rPr>
              <w:t>持</w:t>
            </w:r>
            <w:r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有</w:t>
            </w:r>
            <w:r>
              <w:rPr>
                <w:color w:val="000000" w:themeColor="text1"/>
                <w:kern w:val="0"/>
                <w:sz w:val="22"/>
                <w:szCs w:val="22"/>
              </w:rPr>
              <w:t>工程造价</w:t>
            </w:r>
            <w:r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类</w:t>
            </w:r>
            <w:r>
              <w:rPr>
                <w:color w:val="000000" w:themeColor="text1"/>
                <w:kern w:val="0"/>
                <w:sz w:val="22"/>
                <w:szCs w:val="22"/>
              </w:rPr>
              <w:t>从业资格证</w:t>
            </w:r>
            <w:r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者，学历可放宽至本科学历及相应学位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区人社局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青羊区劳动人事争议仲裁院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</w:t>
            </w:r>
          </w:p>
        </w:tc>
        <w:tc>
          <w:tcPr>
            <w:tcW w:w="4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>
              <w:rPr>
                <w:color w:val="000000" w:themeColor="text1"/>
                <w:kern w:val="0"/>
                <w:sz w:val="22"/>
                <w:szCs w:val="22"/>
              </w:rPr>
              <w:t>从事劳动人事争议案件的处理工作。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 w:themeColor="text1"/>
                <w:kern w:val="0"/>
                <w:sz w:val="22"/>
                <w:szCs w:val="22"/>
              </w:rPr>
            </w:pPr>
            <w:r>
              <w:rPr>
                <w:color w:val="000000" w:themeColor="text1"/>
                <w:kern w:val="0"/>
                <w:sz w:val="22"/>
                <w:szCs w:val="22"/>
              </w:rPr>
              <w:t>管理岗位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>
              <w:rPr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 w:themeColor="text1"/>
                <w:kern w:val="0"/>
                <w:sz w:val="22"/>
                <w:szCs w:val="22"/>
              </w:rPr>
            </w:pPr>
            <w:r>
              <w:rPr>
                <w:color w:val="000000" w:themeColor="text1"/>
                <w:kern w:val="0"/>
                <w:sz w:val="22"/>
                <w:szCs w:val="22"/>
              </w:rPr>
              <w:t>法学（一级学科）</w:t>
            </w:r>
            <w:r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、劳动关系学、劳动经济学、社会保障、人力资源管理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>
              <w:rPr>
                <w:color w:val="000000" w:themeColor="text1"/>
                <w:kern w:val="0"/>
                <w:sz w:val="22"/>
                <w:szCs w:val="22"/>
              </w:rPr>
              <w:t>普通高等教育全日制</w:t>
            </w:r>
            <w:r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研究生</w:t>
            </w:r>
            <w:r>
              <w:rPr>
                <w:color w:val="000000" w:themeColor="text1"/>
                <w:kern w:val="0"/>
                <w:sz w:val="22"/>
                <w:szCs w:val="22"/>
              </w:rPr>
              <w:t>及以上</w:t>
            </w:r>
            <w:r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学历应届毕业</w:t>
            </w:r>
            <w:r>
              <w:rPr>
                <w:color w:val="000000" w:themeColor="text1"/>
                <w:kern w:val="0"/>
                <w:sz w:val="22"/>
                <w:szCs w:val="22"/>
              </w:rPr>
              <w:t>，</w:t>
            </w:r>
            <w:r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且取得相应</w:t>
            </w:r>
            <w:r>
              <w:rPr>
                <w:color w:val="000000" w:themeColor="text1"/>
                <w:kern w:val="0"/>
                <w:sz w:val="22"/>
                <w:szCs w:val="22"/>
              </w:rPr>
              <w:t>学位</w:t>
            </w:r>
            <w:r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证书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FF0000"/>
                <w:kern w:val="0"/>
                <w:sz w:val="22"/>
                <w:szCs w:val="22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主管部门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单位</w:t>
            </w:r>
          </w:p>
          <w:p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名称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招聘总数</w:t>
            </w:r>
          </w:p>
        </w:tc>
        <w:tc>
          <w:tcPr>
            <w:tcW w:w="4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 w:themeColor="text1"/>
                <w:kern w:val="0"/>
                <w:sz w:val="22"/>
                <w:szCs w:val="22"/>
              </w:rPr>
              <w:t>岗位简介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黑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 w:themeColor="text1"/>
                <w:kern w:val="0"/>
                <w:sz w:val="22"/>
                <w:szCs w:val="22"/>
              </w:rPr>
              <w:t>岗位类别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 w:themeColor="text1"/>
                <w:kern w:val="0"/>
                <w:sz w:val="22"/>
                <w:szCs w:val="22"/>
              </w:rPr>
              <w:t>岗位名额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 w:themeColor="text1"/>
                <w:kern w:val="0"/>
                <w:sz w:val="22"/>
                <w:szCs w:val="22"/>
              </w:rPr>
              <w:t>专业</w:t>
            </w:r>
            <w:r>
              <w:rPr>
                <w:rFonts w:hint="eastAsia" w:eastAsia="黑体"/>
                <w:color w:val="000000" w:themeColor="text1"/>
                <w:kern w:val="0"/>
                <w:sz w:val="22"/>
                <w:szCs w:val="22"/>
              </w:rPr>
              <w:t>要求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 w:themeColor="text1"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 w:themeColor="text1"/>
                <w:kern w:val="0"/>
                <w:sz w:val="22"/>
                <w:szCs w:val="22"/>
              </w:rPr>
              <w:t>其它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区环境保护局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青羊区环境监测站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4</w:t>
            </w:r>
          </w:p>
        </w:tc>
        <w:tc>
          <w:tcPr>
            <w:tcW w:w="4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 w:themeColor="text1"/>
                <w:kern w:val="0"/>
                <w:sz w:val="22"/>
                <w:szCs w:val="22"/>
              </w:rPr>
            </w:pPr>
            <w:r>
              <w:rPr>
                <w:color w:val="000000" w:themeColor="text1"/>
                <w:kern w:val="0"/>
                <w:sz w:val="22"/>
                <w:szCs w:val="22"/>
              </w:rPr>
              <w:t>从事城市室外采样（含高空作业、夜间作业）、化学分析、实验室工作。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 w:themeColor="text1"/>
                <w:kern w:val="0"/>
                <w:sz w:val="22"/>
                <w:szCs w:val="22"/>
              </w:rPr>
            </w:pPr>
            <w:r>
              <w:rPr>
                <w:color w:val="000000" w:themeColor="text1"/>
                <w:kern w:val="0"/>
                <w:sz w:val="22"/>
                <w:szCs w:val="22"/>
              </w:rPr>
              <w:t>专业技术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>
              <w:rPr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 w:themeColor="text1"/>
                <w:kern w:val="0"/>
                <w:sz w:val="22"/>
                <w:szCs w:val="22"/>
              </w:rPr>
            </w:pPr>
            <w:r>
              <w:rPr>
                <w:color w:val="000000" w:themeColor="text1"/>
                <w:kern w:val="0"/>
                <w:sz w:val="22"/>
                <w:szCs w:val="22"/>
              </w:rPr>
              <w:t>化学（一级学科）、应用化学、环境</w:t>
            </w:r>
            <w:r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科学与</w:t>
            </w:r>
            <w:r>
              <w:rPr>
                <w:color w:val="000000" w:themeColor="text1"/>
                <w:kern w:val="0"/>
                <w:sz w:val="22"/>
                <w:szCs w:val="22"/>
              </w:rPr>
              <w:t>工程</w:t>
            </w:r>
            <w:r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、环境工程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:kern w:val="0"/>
                <w:sz w:val="22"/>
                <w:szCs w:val="22"/>
              </w:rPr>
            </w:pPr>
            <w:r>
              <w:rPr>
                <w:color w:val="000000" w:themeColor="text1"/>
                <w:kern w:val="0"/>
                <w:sz w:val="22"/>
                <w:szCs w:val="22"/>
              </w:rPr>
              <w:t>普通高等教育全日制</w:t>
            </w:r>
            <w:r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研究生</w:t>
            </w:r>
            <w:r>
              <w:rPr>
                <w:color w:val="000000" w:themeColor="text1"/>
                <w:kern w:val="0"/>
                <w:sz w:val="22"/>
                <w:szCs w:val="22"/>
              </w:rPr>
              <w:t>及以上</w:t>
            </w:r>
            <w:r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学历应届毕业</w:t>
            </w:r>
            <w:r>
              <w:rPr>
                <w:color w:val="000000" w:themeColor="text1"/>
                <w:kern w:val="0"/>
                <w:sz w:val="22"/>
                <w:szCs w:val="22"/>
              </w:rPr>
              <w:t>，</w:t>
            </w:r>
            <w:r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且取得相应</w:t>
            </w:r>
            <w:r>
              <w:rPr>
                <w:color w:val="000000" w:themeColor="text1"/>
                <w:kern w:val="0"/>
                <w:sz w:val="22"/>
                <w:szCs w:val="22"/>
              </w:rPr>
              <w:t>学位</w:t>
            </w:r>
            <w:r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证书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FF0000"/>
                <w:kern w:val="0"/>
                <w:sz w:val="22"/>
                <w:szCs w:val="22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区商务局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青羊区楼宇经济综合服务中心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</w:t>
            </w:r>
          </w:p>
        </w:tc>
        <w:tc>
          <w:tcPr>
            <w:tcW w:w="4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 w:themeColor="text1"/>
                <w:kern w:val="0"/>
                <w:sz w:val="22"/>
                <w:szCs w:val="22"/>
              </w:rPr>
            </w:pPr>
            <w:r>
              <w:rPr>
                <w:color w:val="000000" w:themeColor="text1"/>
                <w:kern w:val="0"/>
                <w:sz w:val="22"/>
                <w:szCs w:val="22"/>
              </w:rPr>
              <w:t>从事楼宇经济的促进、招商引资、项目推介</w:t>
            </w:r>
            <w:r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等</w:t>
            </w:r>
            <w:r>
              <w:rPr>
                <w:color w:val="000000" w:themeColor="text1"/>
                <w:kern w:val="0"/>
                <w:sz w:val="22"/>
                <w:szCs w:val="22"/>
              </w:rPr>
              <w:t>服务工作</w:t>
            </w:r>
            <w:r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，以及对</w:t>
            </w:r>
            <w:r>
              <w:rPr>
                <w:color w:val="000000" w:themeColor="text1"/>
                <w:kern w:val="0"/>
                <w:sz w:val="22"/>
                <w:szCs w:val="22"/>
              </w:rPr>
              <w:t>外贸易企业发展</w:t>
            </w:r>
            <w:r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状</w:t>
            </w:r>
            <w:r>
              <w:rPr>
                <w:color w:val="000000" w:themeColor="text1"/>
                <w:kern w:val="0"/>
                <w:sz w:val="22"/>
                <w:szCs w:val="22"/>
              </w:rPr>
              <w:t>况统计、分析、</w:t>
            </w:r>
            <w:r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政策研究等相关</w:t>
            </w:r>
            <w:r>
              <w:rPr>
                <w:color w:val="000000" w:themeColor="text1"/>
                <w:kern w:val="0"/>
                <w:sz w:val="22"/>
                <w:szCs w:val="22"/>
              </w:rPr>
              <w:t>工作</w:t>
            </w:r>
            <w:r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 w:themeColor="text1"/>
                <w:kern w:val="0"/>
                <w:sz w:val="22"/>
                <w:szCs w:val="22"/>
              </w:rPr>
            </w:pPr>
            <w:r>
              <w:rPr>
                <w:color w:val="000000" w:themeColor="text1"/>
                <w:kern w:val="0"/>
                <w:sz w:val="22"/>
                <w:szCs w:val="22"/>
              </w:rPr>
              <w:t>管理岗位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 w:themeColor="text1"/>
                <w:kern w:val="0"/>
                <w:sz w:val="22"/>
                <w:szCs w:val="22"/>
              </w:rPr>
            </w:pPr>
            <w:r>
              <w:rPr>
                <w:color w:val="000000" w:themeColor="text1"/>
                <w:kern w:val="0"/>
                <w:sz w:val="22"/>
                <w:szCs w:val="22"/>
              </w:rPr>
              <w:t>工商管理硕士、国际贸易学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>
              <w:rPr>
                <w:color w:val="000000" w:themeColor="text1"/>
                <w:kern w:val="0"/>
                <w:sz w:val="22"/>
                <w:szCs w:val="22"/>
              </w:rPr>
              <w:t>普通高等教育全日制</w:t>
            </w:r>
            <w:r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研究生</w:t>
            </w:r>
            <w:r>
              <w:rPr>
                <w:color w:val="000000" w:themeColor="text1"/>
                <w:kern w:val="0"/>
                <w:sz w:val="22"/>
                <w:szCs w:val="22"/>
              </w:rPr>
              <w:t>及以上</w:t>
            </w:r>
            <w:r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学历应届毕业</w:t>
            </w:r>
            <w:r>
              <w:rPr>
                <w:color w:val="000000" w:themeColor="text1"/>
                <w:kern w:val="0"/>
                <w:sz w:val="22"/>
                <w:szCs w:val="22"/>
              </w:rPr>
              <w:t>，</w:t>
            </w:r>
            <w:r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且取得相应</w:t>
            </w:r>
            <w:r>
              <w:rPr>
                <w:color w:val="000000" w:themeColor="text1"/>
                <w:kern w:val="0"/>
                <w:sz w:val="22"/>
                <w:szCs w:val="22"/>
              </w:rPr>
              <w:t>学位</w:t>
            </w:r>
            <w:r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证书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000000" w:themeColor="text1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区金融工作局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青羊区金融业发展服务中心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</w:t>
            </w:r>
          </w:p>
        </w:tc>
        <w:tc>
          <w:tcPr>
            <w:tcW w:w="4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 w:themeColor="text1"/>
                <w:kern w:val="0"/>
                <w:sz w:val="22"/>
                <w:szCs w:val="22"/>
              </w:rPr>
            </w:pPr>
            <w:r>
              <w:rPr>
                <w:color w:val="000000" w:themeColor="text1"/>
                <w:kern w:val="0"/>
                <w:sz w:val="22"/>
                <w:szCs w:val="22"/>
              </w:rPr>
              <w:t>从事金融产业政策研究、服务发展、招商运营及招商工作，促进新型金融和金融科技发展；从事金融服务类项目评审、评估；从事金融发展的服务性、事务性工作；参与推进金融发展的对策研究等。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 w:themeColor="text1"/>
                <w:kern w:val="0"/>
                <w:sz w:val="22"/>
                <w:szCs w:val="22"/>
              </w:rPr>
            </w:pPr>
            <w:r>
              <w:rPr>
                <w:color w:val="000000" w:themeColor="text1"/>
                <w:kern w:val="0"/>
                <w:sz w:val="22"/>
                <w:szCs w:val="22"/>
              </w:rPr>
              <w:t>管理岗位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金融学</w:t>
            </w:r>
            <w:r>
              <w:rPr>
                <w:rFonts w:hint="eastAsia"/>
                <w:kern w:val="0"/>
                <w:sz w:val="22"/>
                <w:szCs w:val="22"/>
              </w:rPr>
              <w:t>(资本市场与证券投资、风险投资、公司金融、投资银行方向)、金融工程学（产品设计、金融智能方向)、保险学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 w:themeColor="text1"/>
                <w:kern w:val="0"/>
                <w:sz w:val="22"/>
                <w:szCs w:val="22"/>
              </w:rPr>
            </w:pPr>
            <w:r>
              <w:rPr>
                <w:color w:val="000000" w:themeColor="text1"/>
                <w:kern w:val="0"/>
                <w:sz w:val="22"/>
                <w:szCs w:val="22"/>
              </w:rPr>
              <w:t>普通高等教育全日制</w:t>
            </w:r>
            <w:r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研究生</w:t>
            </w:r>
            <w:r>
              <w:rPr>
                <w:color w:val="000000" w:themeColor="text1"/>
                <w:kern w:val="0"/>
                <w:sz w:val="22"/>
                <w:szCs w:val="22"/>
              </w:rPr>
              <w:t>及以上</w:t>
            </w:r>
            <w:r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学历应届毕业</w:t>
            </w:r>
            <w:r>
              <w:rPr>
                <w:color w:val="000000" w:themeColor="text1"/>
                <w:kern w:val="0"/>
                <w:sz w:val="22"/>
                <w:szCs w:val="22"/>
              </w:rPr>
              <w:t>，</w:t>
            </w:r>
            <w:r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且取得相应</w:t>
            </w:r>
            <w:r>
              <w:rPr>
                <w:color w:val="000000" w:themeColor="text1"/>
                <w:kern w:val="0"/>
                <w:sz w:val="22"/>
                <w:szCs w:val="22"/>
              </w:rPr>
              <w:t>学位</w:t>
            </w:r>
            <w:r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证书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000000" w:themeColor="text1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合计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123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</w:tc>
      </w:tr>
    </w:tbl>
    <w:p>
      <w:pPr>
        <w:spacing w:line="640" w:lineRule="exact"/>
        <w:jc w:val="left"/>
        <w:rPr>
          <w:sz w:val="28"/>
          <w:szCs w:val="28"/>
        </w:rPr>
      </w:pPr>
    </w:p>
    <w:sectPr>
      <w:pgSz w:w="16838" w:h="11906" w:orient="landscape"/>
      <w:pgMar w:top="1134" w:right="1134" w:bottom="1134" w:left="1134" w:header="1021" w:footer="1418" w:gutter="0"/>
      <w:cols w:space="425" w:num="1"/>
      <w:docGrid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Batang">
    <w:altName w:val="GulimChe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altName w:val="Arial Unicode MS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1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6DD7"/>
    <w:rsid w:val="00000235"/>
    <w:rsid w:val="00000475"/>
    <w:rsid w:val="000016FE"/>
    <w:rsid w:val="00001C13"/>
    <w:rsid w:val="000040D8"/>
    <w:rsid w:val="00010838"/>
    <w:rsid w:val="0001147E"/>
    <w:rsid w:val="000148F5"/>
    <w:rsid w:val="00015D1A"/>
    <w:rsid w:val="00016290"/>
    <w:rsid w:val="00020A2E"/>
    <w:rsid w:val="00020BD8"/>
    <w:rsid w:val="00020F11"/>
    <w:rsid w:val="000268E2"/>
    <w:rsid w:val="00027145"/>
    <w:rsid w:val="00027488"/>
    <w:rsid w:val="000328E4"/>
    <w:rsid w:val="00032DFD"/>
    <w:rsid w:val="00033F7F"/>
    <w:rsid w:val="00035A76"/>
    <w:rsid w:val="000404CA"/>
    <w:rsid w:val="00043468"/>
    <w:rsid w:val="00043D27"/>
    <w:rsid w:val="00043F1F"/>
    <w:rsid w:val="00044A74"/>
    <w:rsid w:val="000473C2"/>
    <w:rsid w:val="00052521"/>
    <w:rsid w:val="00053A0B"/>
    <w:rsid w:val="00054882"/>
    <w:rsid w:val="00060082"/>
    <w:rsid w:val="000620D5"/>
    <w:rsid w:val="00063460"/>
    <w:rsid w:val="00063EB9"/>
    <w:rsid w:val="00064935"/>
    <w:rsid w:val="000669C0"/>
    <w:rsid w:val="00067134"/>
    <w:rsid w:val="00080535"/>
    <w:rsid w:val="0008397A"/>
    <w:rsid w:val="00084CF8"/>
    <w:rsid w:val="00085259"/>
    <w:rsid w:val="000960FD"/>
    <w:rsid w:val="00096D3D"/>
    <w:rsid w:val="000974DB"/>
    <w:rsid w:val="000A488D"/>
    <w:rsid w:val="000A5946"/>
    <w:rsid w:val="000B4E16"/>
    <w:rsid w:val="000B6678"/>
    <w:rsid w:val="000C682A"/>
    <w:rsid w:val="000C69DC"/>
    <w:rsid w:val="000D2119"/>
    <w:rsid w:val="000D4973"/>
    <w:rsid w:val="000E048A"/>
    <w:rsid w:val="000E379E"/>
    <w:rsid w:val="000F0FDE"/>
    <w:rsid w:val="000F27A9"/>
    <w:rsid w:val="00100471"/>
    <w:rsid w:val="001015CA"/>
    <w:rsid w:val="00103161"/>
    <w:rsid w:val="001146D9"/>
    <w:rsid w:val="00121145"/>
    <w:rsid w:val="001232AE"/>
    <w:rsid w:val="00124A6A"/>
    <w:rsid w:val="0012752B"/>
    <w:rsid w:val="00130625"/>
    <w:rsid w:val="00137F3B"/>
    <w:rsid w:val="001414F2"/>
    <w:rsid w:val="00143517"/>
    <w:rsid w:val="0015157C"/>
    <w:rsid w:val="00153A25"/>
    <w:rsid w:val="001709DF"/>
    <w:rsid w:val="001917AA"/>
    <w:rsid w:val="00191F19"/>
    <w:rsid w:val="00193E42"/>
    <w:rsid w:val="00196494"/>
    <w:rsid w:val="001A4D2E"/>
    <w:rsid w:val="001A5654"/>
    <w:rsid w:val="001A6228"/>
    <w:rsid w:val="001A6E9A"/>
    <w:rsid w:val="001B495C"/>
    <w:rsid w:val="001B4F78"/>
    <w:rsid w:val="001B730C"/>
    <w:rsid w:val="001C255E"/>
    <w:rsid w:val="001C4B76"/>
    <w:rsid w:val="001D307A"/>
    <w:rsid w:val="001D6457"/>
    <w:rsid w:val="001E1981"/>
    <w:rsid w:val="001E2E51"/>
    <w:rsid w:val="001E3C77"/>
    <w:rsid w:val="001E730A"/>
    <w:rsid w:val="001F0733"/>
    <w:rsid w:val="001F1183"/>
    <w:rsid w:val="001F38F1"/>
    <w:rsid w:val="001F539F"/>
    <w:rsid w:val="001F5C59"/>
    <w:rsid w:val="001F748F"/>
    <w:rsid w:val="002021B5"/>
    <w:rsid w:val="002033E8"/>
    <w:rsid w:val="00203CD4"/>
    <w:rsid w:val="002068C0"/>
    <w:rsid w:val="00220601"/>
    <w:rsid w:val="002212C7"/>
    <w:rsid w:val="00221C0D"/>
    <w:rsid w:val="00223BA5"/>
    <w:rsid w:val="002247BC"/>
    <w:rsid w:val="0023220C"/>
    <w:rsid w:val="0023442B"/>
    <w:rsid w:val="00236779"/>
    <w:rsid w:val="002426E2"/>
    <w:rsid w:val="0025352A"/>
    <w:rsid w:val="00253E8D"/>
    <w:rsid w:val="00253EAE"/>
    <w:rsid w:val="002540CE"/>
    <w:rsid w:val="002555D1"/>
    <w:rsid w:val="00256ED6"/>
    <w:rsid w:val="00260461"/>
    <w:rsid w:val="0026161E"/>
    <w:rsid w:val="00264AD9"/>
    <w:rsid w:val="0026600C"/>
    <w:rsid w:val="00271A4A"/>
    <w:rsid w:val="00272903"/>
    <w:rsid w:val="0027363B"/>
    <w:rsid w:val="00274E9A"/>
    <w:rsid w:val="002811C5"/>
    <w:rsid w:val="00283941"/>
    <w:rsid w:val="002839E6"/>
    <w:rsid w:val="0028552D"/>
    <w:rsid w:val="0029330D"/>
    <w:rsid w:val="00297869"/>
    <w:rsid w:val="002A3628"/>
    <w:rsid w:val="002A494C"/>
    <w:rsid w:val="002A529C"/>
    <w:rsid w:val="002B33EC"/>
    <w:rsid w:val="002B3922"/>
    <w:rsid w:val="002B76AE"/>
    <w:rsid w:val="002C0C14"/>
    <w:rsid w:val="002C181F"/>
    <w:rsid w:val="002C52D4"/>
    <w:rsid w:val="002D1F2D"/>
    <w:rsid w:val="002E2D83"/>
    <w:rsid w:val="002E4108"/>
    <w:rsid w:val="002F1A50"/>
    <w:rsid w:val="002F331E"/>
    <w:rsid w:val="002F3475"/>
    <w:rsid w:val="002F7702"/>
    <w:rsid w:val="002F7F90"/>
    <w:rsid w:val="0030018E"/>
    <w:rsid w:val="003012A6"/>
    <w:rsid w:val="0030483E"/>
    <w:rsid w:val="0031067E"/>
    <w:rsid w:val="00310B0E"/>
    <w:rsid w:val="00313648"/>
    <w:rsid w:val="00321FE6"/>
    <w:rsid w:val="0032393C"/>
    <w:rsid w:val="003272B7"/>
    <w:rsid w:val="00334F5F"/>
    <w:rsid w:val="00337B60"/>
    <w:rsid w:val="00337F20"/>
    <w:rsid w:val="00345207"/>
    <w:rsid w:val="00346C3F"/>
    <w:rsid w:val="00347777"/>
    <w:rsid w:val="00352240"/>
    <w:rsid w:val="003639FA"/>
    <w:rsid w:val="003656EF"/>
    <w:rsid w:val="00380B96"/>
    <w:rsid w:val="00387098"/>
    <w:rsid w:val="0038771B"/>
    <w:rsid w:val="00391046"/>
    <w:rsid w:val="00397AB2"/>
    <w:rsid w:val="003A5E96"/>
    <w:rsid w:val="003B0B41"/>
    <w:rsid w:val="003B126C"/>
    <w:rsid w:val="003B1DC2"/>
    <w:rsid w:val="003B49EE"/>
    <w:rsid w:val="003B5DAB"/>
    <w:rsid w:val="003B6CDF"/>
    <w:rsid w:val="003B7F5F"/>
    <w:rsid w:val="003C0D27"/>
    <w:rsid w:val="003C29A6"/>
    <w:rsid w:val="003C3F24"/>
    <w:rsid w:val="003D1717"/>
    <w:rsid w:val="003E5FA7"/>
    <w:rsid w:val="003F121F"/>
    <w:rsid w:val="003F1297"/>
    <w:rsid w:val="003F1952"/>
    <w:rsid w:val="003F2355"/>
    <w:rsid w:val="003F4A84"/>
    <w:rsid w:val="003F4FCB"/>
    <w:rsid w:val="003F7FD7"/>
    <w:rsid w:val="00400D3C"/>
    <w:rsid w:val="00401F98"/>
    <w:rsid w:val="00406729"/>
    <w:rsid w:val="0041199A"/>
    <w:rsid w:val="0041281C"/>
    <w:rsid w:val="00414E03"/>
    <w:rsid w:val="00430240"/>
    <w:rsid w:val="00431010"/>
    <w:rsid w:val="0043448D"/>
    <w:rsid w:val="00434A97"/>
    <w:rsid w:val="004354D1"/>
    <w:rsid w:val="00436901"/>
    <w:rsid w:val="00444E5B"/>
    <w:rsid w:val="00445184"/>
    <w:rsid w:val="00452E62"/>
    <w:rsid w:val="00456EBF"/>
    <w:rsid w:val="00460FFC"/>
    <w:rsid w:val="004661B9"/>
    <w:rsid w:val="00467D3A"/>
    <w:rsid w:val="00470534"/>
    <w:rsid w:val="00470C76"/>
    <w:rsid w:val="004727A7"/>
    <w:rsid w:val="00473FD7"/>
    <w:rsid w:val="004741F9"/>
    <w:rsid w:val="00477ACA"/>
    <w:rsid w:val="00480FE4"/>
    <w:rsid w:val="00481BA8"/>
    <w:rsid w:val="00486E30"/>
    <w:rsid w:val="004935E5"/>
    <w:rsid w:val="00493F0D"/>
    <w:rsid w:val="004A1885"/>
    <w:rsid w:val="004A6771"/>
    <w:rsid w:val="004A6B34"/>
    <w:rsid w:val="004A7783"/>
    <w:rsid w:val="004A797D"/>
    <w:rsid w:val="004B15D5"/>
    <w:rsid w:val="004B1AA4"/>
    <w:rsid w:val="004C6E97"/>
    <w:rsid w:val="004C6EAF"/>
    <w:rsid w:val="004C7005"/>
    <w:rsid w:val="004D21BA"/>
    <w:rsid w:val="004D2BF5"/>
    <w:rsid w:val="004D3D8E"/>
    <w:rsid w:val="004D5FB9"/>
    <w:rsid w:val="004E1349"/>
    <w:rsid w:val="004E3786"/>
    <w:rsid w:val="004F1242"/>
    <w:rsid w:val="004F1CE5"/>
    <w:rsid w:val="004F7E18"/>
    <w:rsid w:val="00501467"/>
    <w:rsid w:val="0050329E"/>
    <w:rsid w:val="005208B4"/>
    <w:rsid w:val="00520C1A"/>
    <w:rsid w:val="0052136F"/>
    <w:rsid w:val="00521DE2"/>
    <w:rsid w:val="005220EC"/>
    <w:rsid w:val="0052482F"/>
    <w:rsid w:val="00527E6A"/>
    <w:rsid w:val="00541567"/>
    <w:rsid w:val="0054491A"/>
    <w:rsid w:val="005463CB"/>
    <w:rsid w:val="00546F33"/>
    <w:rsid w:val="00551A1B"/>
    <w:rsid w:val="00554547"/>
    <w:rsid w:val="00557335"/>
    <w:rsid w:val="005609EB"/>
    <w:rsid w:val="0056488E"/>
    <w:rsid w:val="005764C6"/>
    <w:rsid w:val="00581D71"/>
    <w:rsid w:val="005852A8"/>
    <w:rsid w:val="005928E0"/>
    <w:rsid w:val="00594641"/>
    <w:rsid w:val="0059623E"/>
    <w:rsid w:val="005A2492"/>
    <w:rsid w:val="005A3D8F"/>
    <w:rsid w:val="005B123C"/>
    <w:rsid w:val="005B2E98"/>
    <w:rsid w:val="005B478C"/>
    <w:rsid w:val="005B6EAD"/>
    <w:rsid w:val="005C0FCA"/>
    <w:rsid w:val="005C1E9E"/>
    <w:rsid w:val="005D16DC"/>
    <w:rsid w:val="005D1CB4"/>
    <w:rsid w:val="005D4FE1"/>
    <w:rsid w:val="005D57F8"/>
    <w:rsid w:val="005D6E89"/>
    <w:rsid w:val="005E4F8E"/>
    <w:rsid w:val="005E636D"/>
    <w:rsid w:val="005E65E3"/>
    <w:rsid w:val="005F0F50"/>
    <w:rsid w:val="005F4912"/>
    <w:rsid w:val="005F499A"/>
    <w:rsid w:val="005F57F5"/>
    <w:rsid w:val="005F6D88"/>
    <w:rsid w:val="0060373F"/>
    <w:rsid w:val="00604364"/>
    <w:rsid w:val="00605641"/>
    <w:rsid w:val="006057FB"/>
    <w:rsid w:val="0061304C"/>
    <w:rsid w:val="00622EBF"/>
    <w:rsid w:val="00624406"/>
    <w:rsid w:val="00625327"/>
    <w:rsid w:val="0063234D"/>
    <w:rsid w:val="006356D0"/>
    <w:rsid w:val="00636D88"/>
    <w:rsid w:val="00640E6A"/>
    <w:rsid w:val="006466C9"/>
    <w:rsid w:val="006506C9"/>
    <w:rsid w:val="00666DB4"/>
    <w:rsid w:val="00667B70"/>
    <w:rsid w:val="006702C1"/>
    <w:rsid w:val="00672118"/>
    <w:rsid w:val="00676A18"/>
    <w:rsid w:val="00683085"/>
    <w:rsid w:val="00684823"/>
    <w:rsid w:val="00685474"/>
    <w:rsid w:val="00686946"/>
    <w:rsid w:val="006908CE"/>
    <w:rsid w:val="00691768"/>
    <w:rsid w:val="006955C7"/>
    <w:rsid w:val="00695F99"/>
    <w:rsid w:val="00696AA9"/>
    <w:rsid w:val="006A0E5F"/>
    <w:rsid w:val="006A402F"/>
    <w:rsid w:val="006A476D"/>
    <w:rsid w:val="006A5AC0"/>
    <w:rsid w:val="006A5D73"/>
    <w:rsid w:val="006A6E5A"/>
    <w:rsid w:val="006A72CE"/>
    <w:rsid w:val="006B09E8"/>
    <w:rsid w:val="006B1FB2"/>
    <w:rsid w:val="006B234F"/>
    <w:rsid w:val="006B381D"/>
    <w:rsid w:val="006B62F9"/>
    <w:rsid w:val="006B7527"/>
    <w:rsid w:val="006D1951"/>
    <w:rsid w:val="006D19A1"/>
    <w:rsid w:val="006D3D95"/>
    <w:rsid w:val="006D6BA1"/>
    <w:rsid w:val="006E322A"/>
    <w:rsid w:val="006F34EF"/>
    <w:rsid w:val="006F4DC6"/>
    <w:rsid w:val="006F7813"/>
    <w:rsid w:val="007038D9"/>
    <w:rsid w:val="007059A9"/>
    <w:rsid w:val="00706B2C"/>
    <w:rsid w:val="007071F0"/>
    <w:rsid w:val="00710136"/>
    <w:rsid w:val="00711DE4"/>
    <w:rsid w:val="00714061"/>
    <w:rsid w:val="00723151"/>
    <w:rsid w:val="0073196D"/>
    <w:rsid w:val="00734424"/>
    <w:rsid w:val="00734428"/>
    <w:rsid w:val="00734D0F"/>
    <w:rsid w:val="00740258"/>
    <w:rsid w:val="00740869"/>
    <w:rsid w:val="00754713"/>
    <w:rsid w:val="00756F81"/>
    <w:rsid w:val="007576A8"/>
    <w:rsid w:val="007614B5"/>
    <w:rsid w:val="00761AE2"/>
    <w:rsid w:val="0076374F"/>
    <w:rsid w:val="00767597"/>
    <w:rsid w:val="007678CB"/>
    <w:rsid w:val="00771B8A"/>
    <w:rsid w:val="00771CE5"/>
    <w:rsid w:val="007804D8"/>
    <w:rsid w:val="007846FF"/>
    <w:rsid w:val="007858A4"/>
    <w:rsid w:val="00786A0E"/>
    <w:rsid w:val="00786E9A"/>
    <w:rsid w:val="00794233"/>
    <w:rsid w:val="00797F16"/>
    <w:rsid w:val="007A0784"/>
    <w:rsid w:val="007A17CE"/>
    <w:rsid w:val="007A2409"/>
    <w:rsid w:val="007B29D9"/>
    <w:rsid w:val="007C2A5A"/>
    <w:rsid w:val="007D5573"/>
    <w:rsid w:val="007D6850"/>
    <w:rsid w:val="007D6CAA"/>
    <w:rsid w:val="007E7A21"/>
    <w:rsid w:val="007F0C3B"/>
    <w:rsid w:val="007F1E1D"/>
    <w:rsid w:val="007F2500"/>
    <w:rsid w:val="007F485A"/>
    <w:rsid w:val="007F4F6C"/>
    <w:rsid w:val="007F5D5D"/>
    <w:rsid w:val="007F69CF"/>
    <w:rsid w:val="008048BE"/>
    <w:rsid w:val="00805E2C"/>
    <w:rsid w:val="00807A28"/>
    <w:rsid w:val="00813B4B"/>
    <w:rsid w:val="00815482"/>
    <w:rsid w:val="0081578A"/>
    <w:rsid w:val="00816AFF"/>
    <w:rsid w:val="008173CF"/>
    <w:rsid w:val="00822982"/>
    <w:rsid w:val="008254B0"/>
    <w:rsid w:val="0082664B"/>
    <w:rsid w:val="008273A5"/>
    <w:rsid w:val="00830FFC"/>
    <w:rsid w:val="00833DC7"/>
    <w:rsid w:val="0083449D"/>
    <w:rsid w:val="00841D8F"/>
    <w:rsid w:val="0084681E"/>
    <w:rsid w:val="00846F4E"/>
    <w:rsid w:val="00850133"/>
    <w:rsid w:val="008507E2"/>
    <w:rsid w:val="00862AA8"/>
    <w:rsid w:val="00876E2C"/>
    <w:rsid w:val="008848DF"/>
    <w:rsid w:val="00885586"/>
    <w:rsid w:val="008900EB"/>
    <w:rsid w:val="008927DF"/>
    <w:rsid w:val="00893F0C"/>
    <w:rsid w:val="0089484A"/>
    <w:rsid w:val="00894CD0"/>
    <w:rsid w:val="0089621A"/>
    <w:rsid w:val="00897830"/>
    <w:rsid w:val="00897DF4"/>
    <w:rsid w:val="008A05F0"/>
    <w:rsid w:val="008A0F10"/>
    <w:rsid w:val="008A148D"/>
    <w:rsid w:val="008A19A6"/>
    <w:rsid w:val="008A3017"/>
    <w:rsid w:val="008A7B93"/>
    <w:rsid w:val="008B31F2"/>
    <w:rsid w:val="008B789C"/>
    <w:rsid w:val="008B7E53"/>
    <w:rsid w:val="008C35DC"/>
    <w:rsid w:val="008C67D2"/>
    <w:rsid w:val="008C67F1"/>
    <w:rsid w:val="008C7700"/>
    <w:rsid w:val="008C7E9D"/>
    <w:rsid w:val="008D012E"/>
    <w:rsid w:val="008D2A32"/>
    <w:rsid w:val="008D47DF"/>
    <w:rsid w:val="008D76C8"/>
    <w:rsid w:val="008D7CD0"/>
    <w:rsid w:val="008E10AE"/>
    <w:rsid w:val="008E4175"/>
    <w:rsid w:val="008E56B2"/>
    <w:rsid w:val="008F2ABD"/>
    <w:rsid w:val="008F30C1"/>
    <w:rsid w:val="008F3F09"/>
    <w:rsid w:val="00902C6F"/>
    <w:rsid w:val="009112E0"/>
    <w:rsid w:val="00912EB4"/>
    <w:rsid w:val="009227B6"/>
    <w:rsid w:val="009274BB"/>
    <w:rsid w:val="00931F96"/>
    <w:rsid w:val="00933D1C"/>
    <w:rsid w:val="00940269"/>
    <w:rsid w:val="009403AF"/>
    <w:rsid w:val="0095073B"/>
    <w:rsid w:val="00960217"/>
    <w:rsid w:val="00960432"/>
    <w:rsid w:val="009646C9"/>
    <w:rsid w:val="009657A9"/>
    <w:rsid w:val="0097093F"/>
    <w:rsid w:val="00972251"/>
    <w:rsid w:val="00974164"/>
    <w:rsid w:val="00981D47"/>
    <w:rsid w:val="00991C40"/>
    <w:rsid w:val="0099245F"/>
    <w:rsid w:val="0099342B"/>
    <w:rsid w:val="009937A9"/>
    <w:rsid w:val="009937E3"/>
    <w:rsid w:val="00994BEC"/>
    <w:rsid w:val="009952C1"/>
    <w:rsid w:val="009A0F9D"/>
    <w:rsid w:val="009A498C"/>
    <w:rsid w:val="009A7AA3"/>
    <w:rsid w:val="009B627C"/>
    <w:rsid w:val="009B663B"/>
    <w:rsid w:val="009B7C7F"/>
    <w:rsid w:val="009B7E53"/>
    <w:rsid w:val="009C1D7B"/>
    <w:rsid w:val="009E0936"/>
    <w:rsid w:val="009E1EDE"/>
    <w:rsid w:val="009E3CAF"/>
    <w:rsid w:val="009E436F"/>
    <w:rsid w:val="009E6780"/>
    <w:rsid w:val="009E6A59"/>
    <w:rsid w:val="009F0998"/>
    <w:rsid w:val="009F0E5F"/>
    <w:rsid w:val="009F2081"/>
    <w:rsid w:val="009F7AB4"/>
    <w:rsid w:val="00A012AC"/>
    <w:rsid w:val="00A034E0"/>
    <w:rsid w:val="00A04A20"/>
    <w:rsid w:val="00A06936"/>
    <w:rsid w:val="00A12060"/>
    <w:rsid w:val="00A13E11"/>
    <w:rsid w:val="00A17C8A"/>
    <w:rsid w:val="00A219AB"/>
    <w:rsid w:val="00A23055"/>
    <w:rsid w:val="00A24632"/>
    <w:rsid w:val="00A2534B"/>
    <w:rsid w:val="00A277C6"/>
    <w:rsid w:val="00A27985"/>
    <w:rsid w:val="00A303E0"/>
    <w:rsid w:val="00A30EF8"/>
    <w:rsid w:val="00A32E61"/>
    <w:rsid w:val="00A32F1D"/>
    <w:rsid w:val="00A40B33"/>
    <w:rsid w:val="00A42870"/>
    <w:rsid w:val="00A43209"/>
    <w:rsid w:val="00A45552"/>
    <w:rsid w:val="00A46E26"/>
    <w:rsid w:val="00A50EDE"/>
    <w:rsid w:val="00A56260"/>
    <w:rsid w:val="00A677EE"/>
    <w:rsid w:val="00A7557A"/>
    <w:rsid w:val="00A77F37"/>
    <w:rsid w:val="00A87990"/>
    <w:rsid w:val="00A87E17"/>
    <w:rsid w:val="00A9200A"/>
    <w:rsid w:val="00A961CA"/>
    <w:rsid w:val="00A962FA"/>
    <w:rsid w:val="00AA1FB9"/>
    <w:rsid w:val="00AA2162"/>
    <w:rsid w:val="00AA5F01"/>
    <w:rsid w:val="00AB216E"/>
    <w:rsid w:val="00AB42FE"/>
    <w:rsid w:val="00AC332D"/>
    <w:rsid w:val="00AC6BB9"/>
    <w:rsid w:val="00AC7F19"/>
    <w:rsid w:val="00AD214C"/>
    <w:rsid w:val="00AD6511"/>
    <w:rsid w:val="00AE0A6F"/>
    <w:rsid w:val="00AE1E93"/>
    <w:rsid w:val="00AF0073"/>
    <w:rsid w:val="00AF3F37"/>
    <w:rsid w:val="00AF60C1"/>
    <w:rsid w:val="00B07163"/>
    <w:rsid w:val="00B12DF6"/>
    <w:rsid w:val="00B22C16"/>
    <w:rsid w:val="00B2454B"/>
    <w:rsid w:val="00B24599"/>
    <w:rsid w:val="00B25520"/>
    <w:rsid w:val="00B3054D"/>
    <w:rsid w:val="00B328F0"/>
    <w:rsid w:val="00B3487D"/>
    <w:rsid w:val="00B35031"/>
    <w:rsid w:val="00B36236"/>
    <w:rsid w:val="00B36DFF"/>
    <w:rsid w:val="00B36E36"/>
    <w:rsid w:val="00B44D3C"/>
    <w:rsid w:val="00B500F5"/>
    <w:rsid w:val="00B62D67"/>
    <w:rsid w:val="00B64279"/>
    <w:rsid w:val="00B6681A"/>
    <w:rsid w:val="00B705C4"/>
    <w:rsid w:val="00B7265D"/>
    <w:rsid w:val="00B743A4"/>
    <w:rsid w:val="00B756F5"/>
    <w:rsid w:val="00B84A0F"/>
    <w:rsid w:val="00BA19A6"/>
    <w:rsid w:val="00BA1AF7"/>
    <w:rsid w:val="00BA572C"/>
    <w:rsid w:val="00BB3CB6"/>
    <w:rsid w:val="00BB5AA3"/>
    <w:rsid w:val="00BB75C3"/>
    <w:rsid w:val="00BB78CB"/>
    <w:rsid w:val="00BC31DD"/>
    <w:rsid w:val="00BC4676"/>
    <w:rsid w:val="00BC54AA"/>
    <w:rsid w:val="00BD210D"/>
    <w:rsid w:val="00BD2262"/>
    <w:rsid w:val="00BD3105"/>
    <w:rsid w:val="00BD7167"/>
    <w:rsid w:val="00BE6D55"/>
    <w:rsid w:val="00C00BBA"/>
    <w:rsid w:val="00C048ED"/>
    <w:rsid w:val="00C071CA"/>
    <w:rsid w:val="00C07FEF"/>
    <w:rsid w:val="00C10F82"/>
    <w:rsid w:val="00C13D5A"/>
    <w:rsid w:val="00C174D8"/>
    <w:rsid w:val="00C27D72"/>
    <w:rsid w:val="00C315C8"/>
    <w:rsid w:val="00C34A82"/>
    <w:rsid w:val="00C37600"/>
    <w:rsid w:val="00C43E5C"/>
    <w:rsid w:val="00C44CFF"/>
    <w:rsid w:val="00C44FA7"/>
    <w:rsid w:val="00C50663"/>
    <w:rsid w:val="00C6015F"/>
    <w:rsid w:val="00C639E3"/>
    <w:rsid w:val="00C664BE"/>
    <w:rsid w:val="00C72842"/>
    <w:rsid w:val="00C747B9"/>
    <w:rsid w:val="00C75FFE"/>
    <w:rsid w:val="00C811A8"/>
    <w:rsid w:val="00C82366"/>
    <w:rsid w:val="00C83BAE"/>
    <w:rsid w:val="00C85CA0"/>
    <w:rsid w:val="00C91B39"/>
    <w:rsid w:val="00C94C93"/>
    <w:rsid w:val="00CB096B"/>
    <w:rsid w:val="00CB30C8"/>
    <w:rsid w:val="00CB754A"/>
    <w:rsid w:val="00CB7F42"/>
    <w:rsid w:val="00CC20D9"/>
    <w:rsid w:val="00CC57F1"/>
    <w:rsid w:val="00CC5C72"/>
    <w:rsid w:val="00CC63A4"/>
    <w:rsid w:val="00CD245D"/>
    <w:rsid w:val="00CD369C"/>
    <w:rsid w:val="00CD64FF"/>
    <w:rsid w:val="00CD6D71"/>
    <w:rsid w:val="00CE58C6"/>
    <w:rsid w:val="00CF1673"/>
    <w:rsid w:val="00CF5688"/>
    <w:rsid w:val="00D05D5B"/>
    <w:rsid w:val="00D0672F"/>
    <w:rsid w:val="00D06DD7"/>
    <w:rsid w:val="00D10AB8"/>
    <w:rsid w:val="00D13159"/>
    <w:rsid w:val="00D206C5"/>
    <w:rsid w:val="00D20808"/>
    <w:rsid w:val="00D21058"/>
    <w:rsid w:val="00D23410"/>
    <w:rsid w:val="00D24479"/>
    <w:rsid w:val="00D245C3"/>
    <w:rsid w:val="00D249F4"/>
    <w:rsid w:val="00D307B5"/>
    <w:rsid w:val="00D40483"/>
    <w:rsid w:val="00D40703"/>
    <w:rsid w:val="00D44837"/>
    <w:rsid w:val="00D46053"/>
    <w:rsid w:val="00D47FD1"/>
    <w:rsid w:val="00D621C7"/>
    <w:rsid w:val="00D64468"/>
    <w:rsid w:val="00D66172"/>
    <w:rsid w:val="00D66B7A"/>
    <w:rsid w:val="00D70B70"/>
    <w:rsid w:val="00D71656"/>
    <w:rsid w:val="00D807CA"/>
    <w:rsid w:val="00D82F5A"/>
    <w:rsid w:val="00D908C9"/>
    <w:rsid w:val="00D90A34"/>
    <w:rsid w:val="00D9705C"/>
    <w:rsid w:val="00D97820"/>
    <w:rsid w:val="00DA03C8"/>
    <w:rsid w:val="00DA6378"/>
    <w:rsid w:val="00DA687D"/>
    <w:rsid w:val="00DB198E"/>
    <w:rsid w:val="00DB1F90"/>
    <w:rsid w:val="00DB2398"/>
    <w:rsid w:val="00DB2407"/>
    <w:rsid w:val="00DB27E8"/>
    <w:rsid w:val="00DB51C9"/>
    <w:rsid w:val="00DB75D2"/>
    <w:rsid w:val="00DC04AD"/>
    <w:rsid w:val="00DC1857"/>
    <w:rsid w:val="00DC709C"/>
    <w:rsid w:val="00DC779F"/>
    <w:rsid w:val="00DC78B0"/>
    <w:rsid w:val="00DD0B82"/>
    <w:rsid w:val="00DD1334"/>
    <w:rsid w:val="00DD3473"/>
    <w:rsid w:val="00DD3EAC"/>
    <w:rsid w:val="00DD63F0"/>
    <w:rsid w:val="00DD70AF"/>
    <w:rsid w:val="00DE35E7"/>
    <w:rsid w:val="00DE7457"/>
    <w:rsid w:val="00DF2094"/>
    <w:rsid w:val="00DF313B"/>
    <w:rsid w:val="00DF6734"/>
    <w:rsid w:val="00E01CD4"/>
    <w:rsid w:val="00E0302F"/>
    <w:rsid w:val="00E042D4"/>
    <w:rsid w:val="00E050D6"/>
    <w:rsid w:val="00E06C14"/>
    <w:rsid w:val="00E0761B"/>
    <w:rsid w:val="00E07813"/>
    <w:rsid w:val="00E12A58"/>
    <w:rsid w:val="00E13087"/>
    <w:rsid w:val="00E15435"/>
    <w:rsid w:val="00E17627"/>
    <w:rsid w:val="00E17D4D"/>
    <w:rsid w:val="00E24A4B"/>
    <w:rsid w:val="00E33798"/>
    <w:rsid w:val="00E33FEB"/>
    <w:rsid w:val="00E378F2"/>
    <w:rsid w:val="00E4102D"/>
    <w:rsid w:val="00E4145B"/>
    <w:rsid w:val="00E445A6"/>
    <w:rsid w:val="00E462D1"/>
    <w:rsid w:val="00E568A6"/>
    <w:rsid w:val="00E60F2C"/>
    <w:rsid w:val="00E6366D"/>
    <w:rsid w:val="00E7168A"/>
    <w:rsid w:val="00E722F2"/>
    <w:rsid w:val="00E72668"/>
    <w:rsid w:val="00E74EA9"/>
    <w:rsid w:val="00E8017D"/>
    <w:rsid w:val="00E875B7"/>
    <w:rsid w:val="00E87C3F"/>
    <w:rsid w:val="00E9287F"/>
    <w:rsid w:val="00EA199E"/>
    <w:rsid w:val="00EA3FB5"/>
    <w:rsid w:val="00EA5DE8"/>
    <w:rsid w:val="00EA76E9"/>
    <w:rsid w:val="00EB50A4"/>
    <w:rsid w:val="00EB52A3"/>
    <w:rsid w:val="00EB6542"/>
    <w:rsid w:val="00EB6D2D"/>
    <w:rsid w:val="00EB713D"/>
    <w:rsid w:val="00EC4F75"/>
    <w:rsid w:val="00EC78DC"/>
    <w:rsid w:val="00ED2254"/>
    <w:rsid w:val="00EE5245"/>
    <w:rsid w:val="00EE63F8"/>
    <w:rsid w:val="00EF1314"/>
    <w:rsid w:val="00EF7D87"/>
    <w:rsid w:val="00F00289"/>
    <w:rsid w:val="00F0037C"/>
    <w:rsid w:val="00F008F5"/>
    <w:rsid w:val="00F0769A"/>
    <w:rsid w:val="00F07EE4"/>
    <w:rsid w:val="00F142AE"/>
    <w:rsid w:val="00F16F18"/>
    <w:rsid w:val="00F21A34"/>
    <w:rsid w:val="00F22415"/>
    <w:rsid w:val="00F42813"/>
    <w:rsid w:val="00F441BB"/>
    <w:rsid w:val="00F46838"/>
    <w:rsid w:val="00F5041F"/>
    <w:rsid w:val="00F53D56"/>
    <w:rsid w:val="00F602D4"/>
    <w:rsid w:val="00F6177E"/>
    <w:rsid w:val="00F62198"/>
    <w:rsid w:val="00F62483"/>
    <w:rsid w:val="00F71987"/>
    <w:rsid w:val="00F7206B"/>
    <w:rsid w:val="00F746D4"/>
    <w:rsid w:val="00F80C78"/>
    <w:rsid w:val="00F83E69"/>
    <w:rsid w:val="00F84C54"/>
    <w:rsid w:val="00F85BF9"/>
    <w:rsid w:val="00F903AA"/>
    <w:rsid w:val="00F97E07"/>
    <w:rsid w:val="00FA09A3"/>
    <w:rsid w:val="00FA2742"/>
    <w:rsid w:val="00FB3A0B"/>
    <w:rsid w:val="00FC5CFA"/>
    <w:rsid w:val="00FC6B9E"/>
    <w:rsid w:val="00FC6FF4"/>
    <w:rsid w:val="00FD239C"/>
    <w:rsid w:val="00FE0312"/>
    <w:rsid w:val="00FE0783"/>
    <w:rsid w:val="00FE3BAB"/>
    <w:rsid w:val="00FE57C9"/>
    <w:rsid w:val="00FF1450"/>
    <w:rsid w:val="00FF297D"/>
    <w:rsid w:val="00FF7842"/>
    <w:rsid w:val="0EC270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rFonts w:eastAsia="新宋体"/>
      <w:sz w:val="44"/>
    </w:rPr>
  </w:style>
  <w:style w:type="paragraph" w:styleId="3">
    <w:name w:val="Body Text Indent"/>
    <w:basedOn w:val="1"/>
    <w:link w:val="18"/>
    <w:uiPriority w:val="0"/>
    <w:pPr>
      <w:spacing w:after="120"/>
      <w:ind w:left="420" w:leftChars="200"/>
    </w:pPr>
    <w:rPr>
      <w:rFonts w:eastAsia="宋体"/>
      <w:sz w:val="21"/>
      <w:szCs w:val="24"/>
    </w:rPr>
  </w:style>
  <w:style w:type="paragraph" w:styleId="4">
    <w:name w:val="Date"/>
    <w:basedOn w:val="1"/>
    <w:next w:val="1"/>
    <w:link w:val="15"/>
    <w:uiPriority w:val="0"/>
    <w:pPr>
      <w:ind w:left="100" w:leftChars="2500"/>
    </w:pPr>
    <w:rPr>
      <w:rFonts w:eastAsia="宋体"/>
    </w:rPr>
  </w:style>
  <w:style w:type="paragraph" w:styleId="5">
    <w:name w:val="Body Text Indent 2"/>
    <w:basedOn w:val="1"/>
    <w:uiPriority w:val="0"/>
    <w:pPr>
      <w:spacing w:line="360" w:lineRule="auto"/>
      <w:ind w:firstLine="600" w:firstLineChars="200"/>
    </w:pPr>
    <w:rPr>
      <w:rFonts w:ascii="仿宋_GB2312"/>
      <w:sz w:val="30"/>
    </w:rPr>
  </w:style>
  <w:style w:type="paragraph" w:styleId="6">
    <w:name w:val="Balloon Text"/>
    <w:basedOn w:val="1"/>
    <w:semiHidden/>
    <w:uiPriority w:val="0"/>
    <w:rPr>
      <w:sz w:val="18"/>
      <w:szCs w:val="18"/>
    </w:rPr>
  </w:style>
  <w:style w:type="paragraph" w:styleId="7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8">
    <w:name w:val="header"/>
    <w:basedOn w:val="1"/>
    <w:link w:val="1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styleId="10">
    <w:name w:val="page number"/>
    <w:basedOn w:val="9"/>
    <w:uiPriority w:val="0"/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脚 Char"/>
    <w:link w:val="7"/>
    <w:uiPriority w:val="99"/>
    <w:rPr>
      <w:kern w:val="2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  <w:rPr>
      <w:rFonts w:ascii="Calibri" w:hAnsi="Calibri"/>
      <w:sz w:val="21"/>
      <w:szCs w:val="22"/>
    </w:rPr>
  </w:style>
  <w:style w:type="character" w:customStyle="1" w:styleId="15">
    <w:name w:val="日期 Char"/>
    <w:link w:val="4"/>
    <w:qFormat/>
    <w:uiPriority w:val="0"/>
    <w:rPr>
      <w:kern w:val="2"/>
      <w:sz w:val="32"/>
      <w:szCs w:val="32"/>
    </w:rPr>
  </w:style>
  <w:style w:type="paragraph" w:customStyle="1" w:styleId="16">
    <w:name w:val="_Style 13"/>
    <w:basedOn w:val="1"/>
    <w:next w:val="1"/>
    <w:uiPriority w:val="0"/>
    <w:pPr>
      <w:widowControl/>
      <w:spacing w:before="120" w:after="120"/>
      <w:jc w:val="left"/>
    </w:pPr>
    <w:rPr>
      <w:rFonts w:ascii="Verdana" w:hAnsi="Verdana" w:eastAsia="Batang"/>
      <w:kern w:val="0"/>
      <w:sz w:val="18"/>
      <w:szCs w:val="20"/>
      <w:lang w:eastAsia="en-US"/>
    </w:rPr>
  </w:style>
  <w:style w:type="character" w:customStyle="1" w:styleId="17">
    <w:name w:val="页眉 Char"/>
    <w:link w:val="8"/>
    <w:uiPriority w:val="0"/>
    <w:rPr>
      <w:kern w:val="2"/>
      <w:sz w:val="18"/>
      <w:szCs w:val="18"/>
    </w:rPr>
  </w:style>
  <w:style w:type="character" w:customStyle="1" w:styleId="18">
    <w:name w:val="正文文本缩进 Char"/>
    <w:link w:val="3"/>
    <w:uiPriority w:val="0"/>
    <w:rPr>
      <w:kern w:val="2"/>
      <w:sz w:val="21"/>
      <w:szCs w:val="24"/>
    </w:rPr>
  </w:style>
  <w:style w:type="paragraph" w:customStyle="1" w:styleId="19">
    <w:name w:val="公文正文"/>
    <w:link w:val="20"/>
    <w:qFormat/>
    <w:uiPriority w:val="0"/>
    <w:pPr>
      <w:widowControl w:val="0"/>
      <w:snapToGrid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sz w:val="32"/>
      <w:szCs w:val="24"/>
      <w:lang w:val="en-US" w:eastAsia="zh-CN" w:bidi="ar-SA"/>
    </w:rPr>
  </w:style>
  <w:style w:type="character" w:customStyle="1" w:styleId="20">
    <w:name w:val="公文正文 Char"/>
    <w:link w:val="19"/>
    <w:uiPriority w:val="0"/>
    <w:rPr>
      <w:rFonts w:eastAsia="仿宋_GB2312"/>
      <w:sz w:val="32"/>
      <w:szCs w:val="24"/>
      <w:lang w:bidi="ar-SA"/>
    </w:rPr>
  </w:style>
  <w:style w:type="paragraph" w:customStyle="1" w:styleId="21">
    <w:name w:val="公文标题"/>
    <w:basedOn w:val="19"/>
    <w:next w:val="1"/>
    <w:link w:val="22"/>
    <w:qFormat/>
    <w:uiPriority w:val="1"/>
    <w:pPr>
      <w:ind w:firstLine="0" w:firstLineChars="0"/>
      <w:jc w:val="center"/>
      <w:outlineLvl w:val="0"/>
    </w:pPr>
    <w:rPr>
      <w:rFonts w:ascii="方正小标宋简体" w:hAnsi="仿宋" w:eastAsia="方正小标宋简体"/>
      <w:sz w:val="44"/>
      <w:szCs w:val="44"/>
    </w:rPr>
  </w:style>
  <w:style w:type="character" w:customStyle="1" w:styleId="22">
    <w:name w:val="公文标题 Char"/>
    <w:link w:val="21"/>
    <w:qFormat/>
    <w:uiPriority w:val="1"/>
    <w:rPr>
      <w:rFonts w:ascii="方正小标宋简体" w:hAnsi="仿宋" w:eastAsia="方正小标宋简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48AF28-F07D-4D55-A847-FA256113A8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2</Pages>
  <Words>189</Words>
  <Characters>1078</Characters>
  <Lines>8</Lines>
  <Paragraphs>2</Paragraphs>
  <TotalTime>0</TotalTime>
  <ScaleCrop>false</ScaleCrop>
  <LinksUpToDate>false</LinksUpToDate>
  <CharactersWithSpaces>1265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2017-12-16T05:15:00Z</dcterms:created>
  <dc:creator>1</dc:creator>
  <cp:lastModifiedBy>Administrator</cp:lastModifiedBy>
  <cp:lastPrinted>2018-01-05T05:05:00Z</cp:lastPrinted>
  <dcterms:modified xsi:type="dcterms:W3CDTF">2018-01-08T07:13:42Z</dcterms:modified>
  <dc:title>点燃中华民族的精神之火    点亮炎黄子孙的生命之灯</dc:title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